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71" w:rsidRDefault="008D4E71" w:rsidP="008D4E71">
      <w:pPr>
        <w:spacing w:after="300" w:line="240" w:lineRule="auto"/>
        <w:outlineLvl w:val="0"/>
        <w:rPr>
          <w:rFonts w:ascii="Tahoma" w:eastAsia="Times New Roman" w:hAnsi="Tahoma" w:cs="Tahoma"/>
          <w:b/>
          <w:bCs/>
          <w:color w:val="003C80"/>
          <w:kern w:val="36"/>
          <w:sz w:val="27"/>
          <w:szCs w:val="27"/>
          <w:lang w:eastAsia="ru-RU"/>
        </w:rPr>
      </w:pPr>
      <w:r w:rsidRPr="008D4E71">
        <w:rPr>
          <w:rFonts w:ascii="Tahoma" w:eastAsia="Times New Roman" w:hAnsi="Tahoma" w:cs="Tahoma"/>
          <w:b/>
          <w:bCs/>
          <w:color w:val="003C80"/>
          <w:kern w:val="36"/>
          <w:sz w:val="27"/>
          <w:szCs w:val="27"/>
          <w:lang w:eastAsia="ru-RU"/>
        </w:rPr>
        <w:t>Условия применения системы налогообложения для сельскохозяйственных товаропроизводителей</w:t>
      </w:r>
    </w:p>
    <w:p w:rsidR="008D4E71" w:rsidRPr="008D4E71" w:rsidRDefault="008D4E71" w:rsidP="008D4E71">
      <w:pPr>
        <w:spacing w:after="300" w:line="240" w:lineRule="auto"/>
        <w:outlineLvl w:val="0"/>
        <w:rPr>
          <w:rFonts w:ascii="Tahoma" w:eastAsia="Times New Roman" w:hAnsi="Tahoma" w:cs="Tahoma"/>
          <w:b/>
          <w:bCs/>
          <w:color w:val="003C80"/>
          <w:kern w:val="36"/>
          <w:sz w:val="27"/>
          <w:szCs w:val="27"/>
          <w:lang w:eastAsia="ru-RU"/>
        </w:rPr>
      </w:pPr>
      <w:bookmarkStart w:id="0" w:name="_GoBack"/>
      <w:bookmarkEnd w:id="0"/>
      <w:r w:rsidRPr="008D4E71">
        <w:rPr>
          <w:rFonts w:ascii="Tahoma" w:eastAsia="Times New Roman" w:hAnsi="Tahoma" w:cs="Tahoma"/>
          <w:b/>
          <w:bCs/>
          <w:color w:val="003C80"/>
          <w:kern w:val="36"/>
          <w:sz w:val="27"/>
          <w:szCs w:val="27"/>
          <w:lang w:eastAsia="ru-RU"/>
        </w:rPr>
        <w:t>Статья 346.2. Налогоплательщики</w:t>
      </w:r>
    </w:p>
    <w:p w:rsidR="008D4E71" w:rsidRPr="008D4E71" w:rsidRDefault="008D4E71" w:rsidP="008D4E71">
      <w:pPr>
        <w:spacing w:after="0" w:line="240" w:lineRule="auto"/>
        <w:rPr>
          <w:rFonts w:ascii="Tahoma" w:eastAsia="Times New Roman" w:hAnsi="Tahoma" w:cs="Tahoma"/>
          <w:color w:val="333333"/>
          <w:sz w:val="18"/>
          <w:szCs w:val="18"/>
          <w:lang w:eastAsia="ru-RU"/>
        </w:rPr>
      </w:pPr>
      <w:bookmarkStart w:id="1" w:name="text"/>
      <w:bookmarkEnd w:id="1"/>
      <w:r w:rsidRPr="008D4E71">
        <w:rPr>
          <w:rFonts w:ascii="Tahoma" w:eastAsia="Times New Roman" w:hAnsi="Tahoma" w:cs="Tahoma"/>
          <w:b/>
          <w:bCs/>
          <w:color w:val="000080"/>
          <w:sz w:val="18"/>
          <w:szCs w:val="18"/>
          <w:lang w:eastAsia="ru-RU"/>
        </w:rPr>
        <w:t>Статья 346.2.</w:t>
      </w:r>
      <w:r w:rsidRPr="008D4E71">
        <w:rPr>
          <w:rFonts w:ascii="Tahoma" w:eastAsia="Times New Roman" w:hAnsi="Tahoma" w:cs="Tahoma"/>
          <w:color w:val="333333"/>
          <w:sz w:val="18"/>
          <w:szCs w:val="18"/>
          <w:lang w:eastAsia="ru-RU"/>
        </w:rPr>
        <w:t> Налогоплательщики</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настоящей главой.</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hyperlink r:id="rId4" w:history="1">
        <w:r w:rsidRPr="008D4E71">
          <w:rPr>
            <w:rFonts w:ascii="Arial" w:eastAsia="Times New Roman" w:hAnsi="Arial" w:cs="Arial"/>
            <w:color w:val="336699"/>
            <w:sz w:val="18"/>
            <w:szCs w:val="18"/>
            <w:u w:val="single"/>
            <w:lang w:eastAsia="ru-RU"/>
          </w:rPr>
          <w:t>2.</w:t>
        </w:r>
      </w:hyperlink>
      <w:r w:rsidRPr="008D4E71">
        <w:rPr>
          <w:rFonts w:ascii="Tahoma" w:eastAsia="Times New Roman" w:hAnsi="Tahoma" w:cs="Tahoma"/>
          <w:color w:val="333333"/>
          <w:sz w:val="18"/>
          <w:szCs w:val="18"/>
          <w:lang w:eastAsia="ru-RU"/>
        </w:rPr>
        <w:t> В целях настоящей главы сельскохозяйственными товаропроизводителями признаются:</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w:t>
      </w:r>
      <w:hyperlink r:id="rId5" w:anchor="block_3462022" w:history="1">
        <w:r w:rsidRPr="008D4E71">
          <w:rPr>
            <w:rFonts w:ascii="Arial" w:eastAsia="Times New Roman" w:hAnsi="Arial" w:cs="Arial"/>
            <w:color w:val="336699"/>
            <w:sz w:val="18"/>
            <w:szCs w:val="18"/>
            <w:u w:val="single"/>
            <w:lang w:eastAsia="ru-RU"/>
          </w:rPr>
          <w:t>подпункте 2</w:t>
        </w:r>
      </w:hyperlink>
      <w:r w:rsidRPr="008D4E71">
        <w:rPr>
          <w:rFonts w:ascii="Tahoma" w:eastAsia="Times New Roman" w:hAnsi="Tahoma" w:cs="Tahoma"/>
          <w:color w:val="333333"/>
          <w:sz w:val="18"/>
          <w:szCs w:val="18"/>
          <w:lang w:eastAsia="ru-RU"/>
        </w:rPr>
        <w:t> настоящего пункта,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главы, которые относятся в соответствии с </w:t>
      </w:r>
      <w:hyperlink r:id="rId6" w:history="1">
        <w:r w:rsidRPr="008D4E71">
          <w:rPr>
            <w:rFonts w:ascii="Arial" w:eastAsia="Times New Roman" w:hAnsi="Arial" w:cs="Arial"/>
            <w:color w:val="336699"/>
            <w:sz w:val="18"/>
            <w:szCs w:val="18"/>
            <w:u w:val="single"/>
            <w:lang w:eastAsia="ru-RU"/>
          </w:rPr>
          <w:t>Общероссийским классификатором</w:t>
        </w:r>
      </w:hyperlink>
      <w:r w:rsidRPr="008D4E71">
        <w:rPr>
          <w:rFonts w:ascii="Tahoma" w:eastAsia="Times New Roman" w:hAnsi="Tahoma" w:cs="Tahoma"/>
          <w:color w:val="333333"/>
          <w:sz w:val="18"/>
          <w:szCs w:val="18"/>
          <w:lang w:eastAsia="ru-RU"/>
        </w:rPr>
        <w:t>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3) сельскохозяйственные потребительские кооперативы (перерабатывающие, сбытовые (торговые), снабженческие, растениеводческие, животноводческие), признаваемые таковыми в соответствии с </w:t>
      </w:r>
      <w:hyperlink r:id="rId7" w:anchor="block_401" w:history="1">
        <w:r w:rsidRPr="008D4E71">
          <w:rPr>
            <w:rFonts w:ascii="Arial" w:eastAsia="Times New Roman" w:hAnsi="Arial" w:cs="Arial"/>
            <w:color w:val="336699"/>
            <w:sz w:val="18"/>
            <w:szCs w:val="18"/>
            <w:u w:val="single"/>
            <w:lang w:eastAsia="ru-RU"/>
          </w:rPr>
          <w:t>Федеральным законом</w:t>
        </w:r>
      </w:hyperlink>
      <w:r w:rsidRPr="008D4E71">
        <w:rPr>
          <w:rFonts w:ascii="Tahoma" w:eastAsia="Times New Roman" w:hAnsi="Tahoma" w:cs="Tahoma"/>
          <w:color w:val="333333"/>
          <w:sz w:val="18"/>
          <w:szCs w:val="18"/>
          <w:lang w:eastAsia="ru-RU"/>
        </w:rPr>
        <w:t>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2.1. В целях настоящей главы сельскохозяйственными товаропроизводителями также признаются:</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 xml:space="preserve">1) </w:t>
      </w:r>
      <w:proofErr w:type="spellStart"/>
      <w:r w:rsidRPr="008D4E71">
        <w:rPr>
          <w:rFonts w:ascii="Tahoma" w:eastAsia="Times New Roman" w:hAnsi="Tahoma" w:cs="Tahoma"/>
          <w:color w:val="333333"/>
          <w:sz w:val="18"/>
          <w:szCs w:val="18"/>
          <w:lang w:eastAsia="ru-RU"/>
        </w:rPr>
        <w:t>градо</w:t>
      </w:r>
      <w:proofErr w:type="spellEnd"/>
      <w:r w:rsidRPr="008D4E71">
        <w:rPr>
          <w:rFonts w:ascii="Tahoma" w:eastAsia="Times New Roman" w:hAnsi="Tahoma" w:cs="Tahoma"/>
          <w:color w:val="333333"/>
          <w:sz w:val="18"/>
          <w:szCs w:val="18"/>
          <w:lang w:eastAsia="ru-RU"/>
        </w:rPr>
        <w:t xml:space="preserve">- и </w:t>
      </w:r>
      <w:proofErr w:type="spellStart"/>
      <w:r w:rsidRPr="008D4E71">
        <w:rPr>
          <w:rFonts w:ascii="Tahoma" w:eastAsia="Times New Roman" w:hAnsi="Tahoma" w:cs="Tahoma"/>
          <w:color w:val="333333"/>
          <w:sz w:val="18"/>
          <w:szCs w:val="18"/>
          <w:lang w:eastAsia="ru-RU"/>
        </w:rPr>
        <w:t>поселкообразующие</w:t>
      </w:r>
      <w:proofErr w:type="spellEnd"/>
      <w:r w:rsidRPr="008D4E71">
        <w:rPr>
          <w:rFonts w:ascii="Tahoma" w:eastAsia="Times New Roman" w:hAnsi="Tahoma" w:cs="Tahoma"/>
          <w:color w:val="333333"/>
          <w:sz w:val="18"/>
          <w:szCs w:val="18"/>
          <w:lang w:eastAsia="ru-RU"/>
        </w:rPr>
        <w:t xml:space="preserve"> российские </w:t>
      </w:r>
      <w:proofErr w:type="spellStart"/>
      <w:r w:rsidRPr="008D4E71">
        <w:rPr>
          <w:rFonts w:ascii="Tahoma" w:eastAsia="Times New Roman" w:hAnsi="Tahoma" w:cs="Tahoma"/>
          <w:color w:val="333333"/>
          <w:sz w:val="18"/>
          <w:szCs w:val="18"/>
          <w:lang w:eastAsia="ru-RU"/>
        </w:rPr>
        <w:t>рыбохозяйственные</w:t>
      </w:r>
      <w:proofErr w:type="spellEnd"/>
      <w:r w:rsidRPr="008D4E71">
        <w:rPr>
          <w:rFonts w:ascii="Tahoma" w:eastAsia="Times New Roman" w:hAnsi="Tahoma" w:cs="Tahoma"/>
          <w:color w:val="333333"/>
          <w:sz w:val="18"/>
          <w:szCs w:val="18"/>
          <w:lang w:eastAsia="ru-RU"/>
        </w:rPr>
        <w:t xml:space="preserve">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абзацами третьим и четвертым </w:t>
      </w:r>
      <w:hyperlink r:id="rId8" w:anchor="block_3462212" w:history="1">
        <w:r w:rsidRPr="008D4E71">
          <w:rPr>
            <w:rFonts w:ascii="Arial" w:eastAsia="Times New Roman" w:hAnsi="Arial" w:cs="Arial"/>
            <w:color w:val="336699"/>
            <w:sz w:val="18"/>
            <w:szCs w:val="18"/>
            <w:u w:val="single"/>
            <w:lang w:eastAsia="ru-RU"/>
          </w:rPr>
          <w:t>подпункта 2</w:t>
        </w:r>
      </w:hyperlink>
      <w:r w:rsidRPr="008D4E71">
        <w:rPr>
          <w:rFonts w:ascii="Tahoma" w:eastAsia="Times New Roman" w:hAnsi="Tahoma" w:cs="Tahoma"/>
          <w:color w:val="333333"/>
          <w:sz w:val="18"/>
          <w:szCs w:val="18"/>
          <w:lang w:eastAsia="ru-RU"/>
        </w:rPr>
        <w:t> настоящего пункта;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1.1) сельскохозяйственные производственные кооперативы (включая рыболовецкие артели (колхозы), которые удовлетворяют условиям, установленным </w:t>
      </w:r>
      <w:hyperlink r:id="rId9" w:anchor="block_34622123" w:history="1">
        <w:r w:rsidRPr="008D4E71">
          <w:rPr>
            <w:rFonts w:ascii="Arial" w:eastAsia="Times New Roman" w:hAnsi="Arial" w:cs="Arial"/>
            <w:color w:val="336699"/>
            <w:sz w:val="18"/>
            <w:szCs w:val="18"/>
            <w:u w:val="single"/>
            <w:lang w:eastAsia="ru-RU"/>
          </w:rPr>
          <w:t>абзацами третьим</w:t>
        </w:r>
      </w:hyperlink>
      <w:r w:rsidRPr="008D4E71">
        <w:rPr>
          <w:rFonts w:ascii="Tahoma" w:eastAsia="Times New Roman" w:hAnsi="Tahoma" w:cs="Tahoma"/>
          <w:color w:val="333333"/>
          <w:sz w:val="18"/>
          <w:szCs w:val="18"/>
          <w:lang w:eastAsia="ru-RU"/>
        </w:rPr>
        <w:t> и </w:t>
      </w:r>
      <w:hyperlink r:id="rId10" w:anchor="block_34622124" w:history="1">
        <w:r w:rsidRPr="008D4E71">
          <w:rPr>
            <w:rFonts w:ascii="Arial" w:eastAsia="Times New Roman" w:hAnsi="Arial" w:cs="Arial"/>
            <w:color w:val="336699"/>
            <w:sz w:val="18"/>
            <w:szCs w:val="18"/>
            <w:u w:val="single"/>
            <w:lang w:eastAsia="ru-RU"/>
          </w:rPr>
          <w:t>четвертым подпункта 2</w:t>
        </w:r>
      </w:hyperlink>
      <w:r w:rsidRPr="008D4E71">
        <w:rPr>
          <w:rFonts w:ascii="Tahoma" w:eastAsia="Times New Roman" w:hAnsi="Tahoma" w:cs="Tahoma"/>
          <w:color w:val="333333"/>
          <w:sz w:val="18"/>
          <w:szCs w:val="18"/>
          <w:lang w:eastAsia="ru-RU"/>
        </w:rPr>
        <w:t> настоящего пункта;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hyperlink r:id="rId11" w:history="1">
        <w:r w:rsidRPr="008D4E71">
          <w:rPr>
            <w:rFonts w:ascii="Arial" w:eastAsia="Times New Roman" w:hAnsi="Arial" w:cs="Arial"/>
            <w:color w:val="336699"/>
            <w:sz w:val="18"/>
            <w:szCs w:val="18"/>
            <w:u w:val="single"/>
            <w:lang w:eastAsia="ru-RU"/>
          </w:rPr>
          <w:t>2)</w:t>
        </w:r>
      </w:hyperlink>
      <w:r w:rsidRPr="008D4E71">
        <w:rPr>
          <w:rFonts w:ascii="Tahoma" w:eastAsia="Times New Roman" w:hAnsi="Tahoma" w:cs="Tahoma"/>
          <w:color w:val="333333"/>
          <w:sz w:val="18"/>
          <w:szCs w:val="18"/>
          <w:lang w:eastAsia="ru-RU"/>
        </w:rPr>
        <w:t> </w:t>
      </w:r>
      <w:proofErr w:type="spellStart"/>
      <w:r w:rsidRPr="008D4E71">
        <w:rPr>
          <w:rFonts w:ascii="Tahoma" w:eastAsia="Times New Roman" w:hAnsi="Tahoma" w:cs="Tahoma"/>
          <w:color w:val="333333"/>
          <w:sz w:val="18"/>
          <w:szCs w:val="18"/>
          <w:lang w:eastAsia="ru-RU"/>
        </w:rPr>
        <w:t>рыбохозяйственные</w:t>
      </w:r>
      <w:proofErr w:type="spellEnd"/>
      <w:r w:rsidRPr="008D4E71">
        <w:rPr>
          <w:rFonts w:ascii="Tahoma" w:eastAsia="Times New Roman" w:hAnsi="Tahoma" w:cs="Tahoma"/>
          <w:color w:val="333333"/>
          <w:sz w:val="18"/>
          <w:szCs w:val="18"/>
          <w:lang w:eastAsia="ru-RU"/>
        </w:rPr>
        <w:t xml:space="preserve"> организации и индивидуальные предприниматели при соблюдении ими следующих условий:</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средняя численность работников, определяемая в </w:t>
      </w:r>
      <w:hyperlink r:id="rId12" w:anchor="block_1075" w:history="1">
        <w:r w:rsidRPr="008D4E71">
          <w:rPr>
            <w:rFonts w:ascii="Arial" w:eastAsia="Times New Roman" w:hAnsi="Arial" w:cs="Arial"/>
            <w:color w:val="336699"/>
            <w:sz w:val="18"/>
            <w:szCs w:val="18"/>
            <w:u w:val="single"/>
            <w:lang w:eastAsia="ru-RU"/>
          </w:rPr>
          <w:t>порядке</w:t>
        </w:r>
      </w:hyperlink>
      <w:r w:rsidRPr="008D4E71">
        <w:rPr>
          <w:rFonts w:ascii="Tahoma" w:eastAsia="Times New Roman" w:hAnsi="Tahoma" w:cs="Tahoma"/>
          <w:color w:val="333333"/>
          <w:sz w:val="18"/>
          <w:szCs w:val="18"/>
          <w:lang w:eastAsia="ru-RU"/>
        </w:rPr>
        <w:t>, устанавливаемом федеральным органом исполнительной власти, уполномоченным в области статистики, не превышает за налоговый период 300 человек;</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8D4E71">
        <w:rPr>
          <w:rFonts w:ascii="Tahoma" w:eastAsia="Times New Roman" w:hAnsi="Tahoma" w:cs="Tahoma"/>
          <w:color w:val="333333"/>
          <w:sz w:val="18"/>
          <w:szCs w:val="18"/>
          <w:lang w:eastAsia="ru-RU"/>
        </w:rPr>
        <w:t>бербоут</w:t>
      </w:r>
      <w:proofErr w:type="spellEnd"/>
      <w:r w:rsidRPr="008D4E71">
        <w:rPr>
          <w:rFonts w:ascii="Tahoma" w:eastAsia="Times New Roman" w:hAnsi="Tahoma" w:cs="Tahoma"/>
          <w:color w:val="333333"/>
          <w:sz w:val="18"/>
          <w:szCs w:val="18"/>
          <w:lang w:eastAsia="ru-RU"/>
        </w:rPr>
        <w:t>-чартера и тайм-чартера).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2.2. Для организаций и индивидуальных предпринимателей, осуществляющих последующую (промышленную) переработку </w:t>
      </w:r>
      <w:hyperlink r:id="rId13" w:anchor="block_2000" w:history="1">
        <w:r w:rsidRPr="008D4E71">
          <w:rPr>
            <w:rFonts w:ascii="Arial" w:eastAsia="Times New Roman" w:hAnsi="Arial" w:cs="Arial"/>
            <w:color w:val="336699"/>
            <w:sz w:val="18"/>
            <w:szCs w:val="18"/>
            <w:u w:val="single"/>
            <w:lang w:eastAsia="ru-RU"/>
          </w:rPr>
          <w:t>продукции первичной переработки</w:t>
        </w:r>
      </w:hyperlink>
      <w:r w:rsidRPr="008D4E71">
        <w:rPr>
          <w:rFonts w:ascii="Tahoma" w:eastAsia="Times New Roman" w:hAnsi="Tahoma" w:cs="Tahoma"/>
          <w:color w:val="333333"/>
          <w:sz w:val="18"/>
          <w:szCs w:val="18"/>
          <w:lang w:eastAsia="ru-RU"/>
        </w:rPr>
        <w:t xml:space="preserve">, произведенной ими из сельскохозяйственного сырья собственного производства или из сельскохозяйственного сырья собственного </w:t>
      </w:r>
      <w:r w:rsidRPr="008D4E71">
        <w:rPr>
          <w:rFonts w:ascii="Tahoma" w:eastAsia="Times New Roman" w:hAnsi="Tahoma" w:cs="Tahoma"/>
          <w:color w:val="333333"/>
          <w:sz w:val="18"/>
          <w:szCs w:val="18"/>
          <w:lang w:eastAsia="ru-RU"/>
        </w:rPr>
        <w:lastRenderedPageBreak/>
        <w:t>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 xml:space="preserve">3. В целях настоящего Кодекса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sidRPr="008D4E71">
        <w:rPr>
          <w:rFonts w:ascii="Tahoma" w:eastAsia="Times New Roman" w:hAnsi="Tahoma" w:cs="Tahoma"/>
          <w:color w:val="333333"/>
          <w:sz w:val="18"/>
          <w:szCs w:val="18"/>
          <w:lang w:eastAsia="ru-RU"/>
        </w:rPr>
        <w:t>доращивания</w:t>
      </w:r>
      <w:proofErr w:type="spellEnd"/>
      <w:r w:rsidRPr="008D4E71">
        <w:rPr>
          <w:rFonts w:ascii="Tahoma" w:eastAsia="Times New Roman" w:hAnsi="Tahoma" w:cs="Tahoma"/>
          <w:color w:val="333333"/>
          <w:sz w:val="18"/>
          <w:szCs w:val="18"/>
          <w:lang w:eastAsia="ru-RU"/>
        </w:rPr>
        <w:t xml:space="preserve"> рыб и других водных биологических ресурсов), конкретные </w:t>
      </w:r>
      <w:hyperlink r:id="rId14" w:anchor="block_1000" w:history="1">
        <w:r w:rsidRPr="008D4E71">
          <w:rPr>
            <w:rFonts w:ascii="Arial" w:eastAsia="Times New Roman" w:hAnsi="Arial" w:cs="Arial"/>
            <w:color w:val="336699"/>
            <w:sz w:val="18"/>
            <w:szCs w:val="18"/>
            <w:u w:val="single"/>
            <w:lang w:eastAsia="ru-RU"/>
          </w:rPr>
          <w:t>виды</w:t>
        </w:r>
      </w:hyperlink>
      <w:r w:rsidRPr="008D4E71">
        <w:rPr>
          <w:rFonts w:ascii="Tahoma" w:eastAsia="Times New Roman" w:hAnsi="Tahoma" w:cs="Tahoma"/>
          <w:color w:val="333333"/>
          <w:sz w:val="18"/>
          <w:szCs w:val="18"/>
          <w:lang w:eastAsia="ru-RU"/>
        </w:rPr>
        <w:t> которых определяются Правительством Российской Федерации в соответствии с </w:t>
      </w:r>
      <w:hyperlink r:id="rId15" w:history="1">
        <w:r w:rsidRPr="008D4E71">
          <w:rPr>
            <w:rFonts w:ascii="Arial" w:eastAsia="Times New Roman" w:hAnsi="Arial" w:cs="Arial"/>
            <w:color w:val="336699"/>
            <w:sz w:val="18"/>
            <w:szCs w:val="18"/>
            <w:u w:val="single"/>
            <w:lang w:eastAsia="ru-RU"/>
          </w:rPr>
          <w:t>Общероссийским классификатором</w:t>
        </w:r>
      </w:hyperlink>
      <w:r w:rsidRPr="008D4E71">
        <w:rPr>
          <w:rFonts w:ascii="Tahoma" w:eastAsia="Times New Roman" w:hAnsi="Tahoma" w:cs="Tahoma"/>
          <w:color w:val="333333"/>
          <w:sz w:val="18"/>
          <w:szCs w:val="18"/>
          <w:lang w:eastAsia="ru-RU"/>
        </w:rPr>
        <w:t> продукции по видам экономической деятельности. При этом применительно к сельскохозяйственным товаропроизводителям, указанным в </w:t>
      </w:r>
      <w:hyperlink r:id="rId16" w:anchor="block_346221" w:history="1">
        <w:r w:rsidRPr="008D4E71">
          <w:rPr>
            <w:rFonts w:ascii="Arial" w:eastAsia="Times New Roman" w:hAnsi="Arial" w:cs="Arial"/>
            <w:color w:val="336699"/>
            <w:sz w:val="18"/>
            <w:szCs w:val="18"/>
            <w:u w:val="single"/>
            <w:lang w:eastAsia="ru-RU"/>
          </w:rPr>
          <w:t>пункте 2.1</w:t>
        </w:r>
      </w:hyperlink>
      <w:r w:rsidRPr="008D4E71">
        <w:rPr>
          <w:rFonts w:ascii="Tahoma" w:eastAsia="Times New Roman" w:hAnsi="Tahoma" w:cs="Tahoma"/>
          <w:color w:val="333333"/>
          <w:sz w:val="18"/>
          <w:szCs w:val="18"/>
          <w:lang w:eastAsia="ru-RU"/>
        </w:rPr>
        <w:t> настоящей статьи, к сельскохозяйственной продукции относятся также уловы водных биологических ресурсов, рыбная и иная продукция из водных биологических ресурсов, которые указаны в </w:t>
      </w:r>
      <w:hyperlink r:id="rId17" w:anchor="block_33334" w:history="1">
        <w:r w:rsidRPr="008D4E71">
          <w:rPr>
            <w:rFonts w:ascii="Arial" w:eastAsia="Times New Roman" w:hAnsi="Arial" w:cs="Arial"/>
            <w:color w:val="336699"/>
            <w:sz w:val="18"/>
            <w:szCs w:val="18"/>
            <w:u w:val="single"/>
            <w:lang w:eastAsia="ru-RU"/>
          </w:rPr>
          <w:t>пунктах 4</w:t>
        </w:r>
      </w:hyperlink>
      <w:r w:rsidRPr="008D4E71">
        <w:rPr>
          <w:rFonts w:ascii="Tahoma" w:eastAsia="Times New Roman" w:hAnsi="Tahoma" w:cs="Tahoma"/>
          <w:color w:val="333333"/>
          <w:sz w:val="18"/>
          <w:szCs w:val="18"/>
          <w:lang w:eastAsia="ru-RU"/>
        </w:rPr>
        <w:t> и </w:t>
      </w:r>
      <w:hyperlink r:id="rId18" w:anchor="block_33335" w:history="1">
        <w:r w:rsidRPr="008D4E71">
          <w:rPr>
            <w:rFonts w:ascii="Arial" w:eastAsia="Times New Roman" w:hAnsi="Arial" w:cs="Arial"/>
            <w:color w:val="336699"/>
            <w:sz w:val="18"/>
            <w:szCs w:val="18"/>
            <w:u w:val="single"/>
            <w:lang w:eastAsia="ru-RU"/>
          </w:rPr>
          <w:t>5 статьи 333.3</w:t>
        </w:r>
      </w:hyperlink>
      <w:r w:rsidRPr="008D4E71">
        <w:rPr>
          <w:rFonts w:ascii="Tahoma" w:eastAsia="Times New Roman" w:hAnsi="Tahoma" w:cs="Tahoma"/>
          <w:color w:val="333333"/>
          <w:sz w:val="18"/>
          <w:szCs w:val="18"/>
          <w:lang w:eastAsia="ru-RU"/>
        </w:rPr>
        <w:t> настоящего Кодекса,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4. </w:t>
      </w:r>
      <w:hyperlink r:id="rId19" w:anchor="block_1" w:history="1">
        <w:r w:rsidRPr="008D4E71">
          <w:rPr>
            <w:rFonts w:ascii="Arial" w:eastAsia="Times New Roman" w:hAnsi="Arial" w:cs="Arial"/>
            <w:color w:val="336699"/>
            <w:sz w:val="18"/>
            <w:szCs w:val="18"/>
            <w:u w:val="single"/>
            <w:lang w:eastAsia="ru-RU"/>
          </w:rPr>
          <w:t>Порядок</w:t>
        </w:r>
      </w:hyperlink>
      <w:r w:rsidRPr="008D4E71">
        <w:rPr>
          <w:rFonts w:ascii="Tahoma" w:eastAsia="Times New Roman" w:hAnsi="Tahoma" w:cs="Tahoma"/>
          <w:color w:val="333333"/>
          <w:sz w:val="18"/>
          <w:szCs w:val="18"/>
          <w:lang w:eastAsia="ru-RU"/>
        </w:rPr>
        <w:t> отнесения продукции к </w:t>
      </w:r>
      <w:hyperlink r:id="rId20" w:anchor="block_2000" w:history="1">
        <w:r w:rsidRPr="008D4E71">
          <w:rPr>
            <w:rFonts w:ascii="Arial" w:eastAsia="Times New Roman" w:hAnsi="Arial" w:cs="Arial"/>
            <w:color w:val="336699"/>
            <w:sz w:val="18"/>
            <w:szCs w:val="18"/>
            <w:u w:val="single"/>
            <w:lang w:eastAsia="ru-RU"/>
          </w:rPr>
          <w:t>продукции первичной переработки</w:t>
        </w:r>
      </w:hyperlink>
      <w:r w:rsidRPr="008D4E71">
        <w:rPr>
          <w:rFonts w:ascii="Tahoma" w:eastAsia="Times New Roman" w:hAnsi="Tahoma" w:cs="Tahoma"/>
          <w:color w:val="333333"/>
          <w:sz w:val="18"/>
          <w:szCs w:val="18"/>
          <w:lang w:eastAsia="ru-RU"/>
        </w:rPr>
        <w:t>, произведенной из сельскохозяйственного сырья собственного производства, устанавливается Правительством Российской Федерации.</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1) сельскохозяйственные товаропроизводители (за исключением сельскохозяйственных товаропроизводителей, указанных в </w:t>
      </w:r>
      <w:hyperlink r:id="rId21" w:anchor="block_3462052" w:history="1">
        <w:r w:rsidRPr="008D4E71">
          <w:rPr>
            <w:rFonts w:ascii="Arial" w:eastAsia="Times New Roman" w:hAnsi="Arial" w:cs="Arial"/>
            <w:color w:val="336699"/>
            <w:sz w:val="18"/>
            <w:szCs w:val="18"/>
            <w:u w:val="single"/>
            <w:lang w:eastAsia="ru-RU"/>
          </w:rPr>
          <w:t>подпунктах 2 - 4</w:t>
        </w:r>
      </w:hyperlink>
      <w:r w:rsidRPr="008D4E71">
        <w:rPr>
          <w:rFonts w:ascii="Tahoma" w:eastAsia="Times New Roman" w:hAnsi="Tahoma" w:cs="Tahoma"/>
          <w:color w:val="333333"/>
          <w:sz w:val="18"/>
          <w:szCs w:val="18"/>
          <w:lang w:eastAsia="ru-RU"/>
        </w:rPr>
        <w:t>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уведомление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(или) от оказания услуг, указанных в </w:t>
      </w:r>
      <w:hyperlink r:id="rId22" w:anchor="block_3462022" w:history="1">
        <w:r w:rsidRPr="008D4E71">
          <w:rPr>
            <w:rFonts w:ascii="Arial" w:eastAsia="Times New Roman" w:hAnsi="Arial" w:cs="Arial"/>
            <w:color w:val="336699"/>
            <w:sz w:val="18"/>
            <w:szCs w:val="18"/>
            <w:u w:val="single"/>
            <w:lang w:eastAsia="ru-RU"/>
          </w:rPr>
          <w:t>подпункте 2 пункта 2</w:t>
        </w:r>
      </w:hyperlink>
      <w:r w:rsidRPr="008D4E71">
        <w:rPr>
          <w:rFonts w:ascii="Tahoma" w:eastAsia="Times New Roman" w:hAnsi="Tahoma" w:cs="Tahoma"/>
          <w:color w:val="333333"/>
          <w:sz w:val="18"/>
          <w:szCs w:val="18"/>
          <w:lang w:eastAsia="ru-RU"/>
        </w:rPr>
        <w:t> настоящей статьи,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уведомление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 xml:space="preserve">3) сельскохозяйственные товаропроизводители - </w:t>
      </w:r>
      <w:proofErr w:type="spellStart"/>
      <w:r w:rsidRPr="008D4E71">
        <w:rPr>
          <w:rFonts w:ascii="Tahoma" w:eastAsia="Times New Roman" w:hAnsi="Tahoma" w:cs="Tahoma"/>
          <w:color w:val="333333"/>
          <w:sz w:val="18"/>
          <w:szCs w:val="18"/>
          <w:lang w:eastAsia="ru-RU"/>
        </w:rPr>
        <w:t>рыбохозяйственные</w:t>
      </w:r>
      <w:proofErr w:type="spellEnd"/>
      <w:r w:rsidRPr="008D4E71">
        <w:rPr>
          <w:rFonts w:ascii="Tahoma" w:eastAsia="Times New Roman" w:hAnsi="Tahoma" w:cs="Tahoma"/>
          <w:color w:val="333333"/>
          <w:sz w:val="18"/>
          <w:szCs w:val="18"/>
          <w:lang w:eastAsia="ru-RU"/>
        </w:rPr>
        <w:t xml:space="preserve"> организации, являющиеся </w:t>
      </w:r>
      <w:proofErr w:type="spellStart"/>
      <w:r w:rsidRPr="008D4E71">
        <w:rPr>
          <w:rFonts w:ascii="Tahoma" w:eastAsia="Times New Roman" w:hAnsi="Tahoma" w:cs="Tahoma"/>
          <w:color w:val="333333"/>
          <w:sz w:val="18"/>
          <w:szCs w:val="18"/>
          <w:lang w:eastAsia="ru-RU"/>
        </w:rPr>
        <w:t>градо</w:t>
      </w:r>
      <w:proofErr w:type="spellEnd"/>
      <w:r w:rsidRPr="008D4E71">
        <w:rPr>
          <w:rFonts w:ascii="Tahoma" w:eastAsia="Times New Roman" w:hAnsi="Tahoma" w:cs="Tahoma"/>
          <w:color w:val="333333"/>
          <w:sz w:val="18"/>
          <w:szCs w:val="18"/>
          <w:lang w:eastAsia="ru-RU"/>
        </w:rPr>
        <w:t xml:space="preserve">- и </w:t>
      </w:r>
      <w:proofErr w:type="spellStart"/>
      <w:r w:rsidRPr="008D4E71">
        <w:rPr>
          <w:rFonts w:ascii="Tahoma" w:eastAsia="Times New Roman" w:hAnsi="Tahoma" w:cs="Tahoma"/>
          <w:color w:val="333333"/>
          <w:sz w:val="18"/>
          <w:szCs w:val="18"/>
          <w:lang w:eastAsia="ru-RU"/>
        </w:rPr>
        <w:t>поселкообразующими</w:t>
      </w:r>
      <w:proofErr w:type="spellEnd"/>
      <w:r w:rsidRPr="008D4E71">
        <w:rPr>
          <w:rFonts w:ascii="Tahoma" w:eastAsia="Times New Roman" w:hAnsi="Tahoma" w:cs="Tahoma"/>
          <w:color w:val="333333"/>
          <w:sz w:val="18"/>
          <w:szCs w:val="18"/>
          <w:lang w:eastAsia="ru-RU"/>
        </w:rPr>
        <w:t xml:space="preserve"> российскими </w:t>
      </w:r>
      <w:proofErr w:type="spellStart"/>
      <w:r w:rsidRPr="008D4E71">
        <w:rPr>
          <w:rFonts w:ascii="Tahoma" w:eastAsia="Times New Roman" w:hAnsi="Tahoma" w:cs="Tahoma"/>
          <w:color w:val="333333"/>
          <w:sz w:val="18"/>
          <w:szCs w:val="18"/>
          <w:lang w:eastAsia="ru-RU"/>
        </w:rPr>
        <w:t>рыбохозяйственными</w:t>
      </w:r>
      <w:proofErr w:type="spellEnd"/>
      <w:r w:rsidRPr="008D4E71">
        <w:rPr>
          <w:rFonts w:ascii="Tahoma" w:eastAsia="Times New Roman" w:hAnsi="Tahoma" w:cs="Tahoma"/>
          <w:color w:val="333333"/>
          <w:sz w:val="18"/>
          <w:szCs w:val="18"/>
          <w:lang w:eastAsia="ru-RU"/>
        </w:rPr>
        <w:t xml:space="preserve"> организациями, если они удовлетворяют следующим условиям:</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в общем доходе от реализации товаров (работ, услуг) за календарный год, предшествующий календарному году, в котором эти организации подают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8D4E71">
        <w:rPr>
          <w:rFonts w:ascii="Tahoma" w:eastAsia="Times New Roman" w:hAnsi="Tahoma" w:cs="Tahoma"/>
          <w:color w:val="333333"/>
          <w:sz w:val="18"/>
          <w:szCs w:val="18"/>
          <w:lang w:eastAsia="ru-RU"/>
        </w:rPr>
        <w:t>бербоут</w:t>
      </w:r>
      <w:proofErr w:type="spellEnd"/>
      <w:r w:rsidRPr="008D4E71">
        <w:rPr>
          <w:rFonts w:ascii="Tahoma" w:eastAsia="Times New Roman" w:hAnsi="Tahoma" w:cs="Tahoma"/>
          <w:color w:val="333333"/>
          <w:sz w:val="18"/>
          <w:szCs w:val="18"/>
          <w:lang w:eastAsia="ru-RU"/>
        </w:rPr>
        <w:t>-чартера и тайм-чартера);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 xml:space="preserve">4) сельскохозяйственные товаропроизводители - </w:t>
      </w:r>
      <w:proofErr w:type="spellStart"/>
      <w:r w:rsidRPr="008D4E71">
        <w:rPr>
          <w:rFonts w:ascii="Tahoma" w:eastAsia="Times New Roman" w:hAnsi="Tahoma" w:cs="Tahoma"/>
          <w:color w:val="333333"/>
          <w:sz w:val="18"/>
          <w:szCs w:val="18"/>
          <w:lang w:eastAsia="ru-RU"/>
        </w:rPr>
        <w:t>рыбохозяйственные</w:t>
      </w:r>
      <w:proofErr w:type="spellEnd"/>
      <w:r w:rsidRPr="008D4E71">
        <w:rPr>
          <w:rFonts w:ascii="Tahoma" w:eastAsia="Times New Roman" w:hAnsi="Tahoma" w:cs="Tahoma"/>
          <w:color w:val="333333"/>
          <w:sz w:val="18"/>
          <w:szCs w:val="18"/>
          <w:lang w:eastAsia="ru-RU"/>
        </w:rPr>
        <w:t xml:space="preserve"> организации (за исключением организаций, указанных в подпункте 3 настоящего пункта) и индивидуальные предприниматели с начала следующего календарного года, если они удовлетворяют следующим условиям:</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средняя численность работников, определяемая в </w:t>
      </w:r>
      <w:hyperlink r:id="rId23" w:anchor="block_1075" w:history="1">
        <w:r w:rsidRPr="008D4E71">
          <w:rPr>
            <w:rFonts w:ascii="Arial" w:eastAsia="Times New Roman" w:hAnsi="Arial" w:cs="Arial"/>
            <w:color w:val="336699"/>
            <w:sz w:val="18"/>
            <w:szCs w:val="18"/>
            <w:u w:val="single"/>
            <w:lang w:eastAsia="ru-RU"/>
          </w:rPr>
          <w:t>порядке</w:t>
        </w:r>
      </w:hyperlink>
      <w:r w:rsidRPr="008D4E71">
        <w:rPr>
          <w:rFonts w:ascii="Tahoma" w:eastAsia="Times New Roman" w:hAnsi="Tahoma" w:cs="Tahoma"/>
          <w:color w:val="333333"/>
          <w:sz w:val="18"/>
          <w:szCs w:val="18"/>
          <w:lang w:eastAsia="ru-RU"/>
        </w:rPr>
        <w:t>,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предприниматель подают уведомление о переходе на уплату единого сельскохозяйственного налога, не превышает 300 человек;</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в общем доходе от реализации товаров (работ, услуг) за календарный год, предшествующий календарному году, в котором подается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lastRenderedPageBreak/>
        <w:t>5) вновь созданные в текущем году организации (за исключением организаций, указанных в подпунктах 6 и 7 настоящего пункта) с начала следующего календарного года, если в общем объеме доходов от реализации товаров (работ, услуг) по итогам последнего отчетного периода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 xml:space="preserve">7) вновь созданные в текущем календарном году </w:t>
      </w:r>
      <w:proofErr w:type="spellStart"/>
      <w:r w:rsidRPr="008D4E71">
        <w:rPr>
          <w:rFonts w:ascii="Tahoma" w:eastAsia="Times New Roman" w:hAnsi="Tahoma" w:cs="Tahoma"/>
          <w:color w:val="333333"/>
          <w:sz w:val="18"/>
          <w:szCs w:val="18"/>
          <w:lang w:eastAsia="ru-RU"/>
        </w:rPr>
        <w:t>рыбохозяйственные</w:t>
      </w:r>
      <w:proofErr w:type="spellEnd"/>
      <w:r w:rsidRPr="008D4E71">
        <w:rPr>
          <w:rFonts w:ascii="Tahoma" w:eastAsia="Times New Roman" w:hAnsi="Tahoma" w:cs="Tahoma"/>
          <w:color w:val="333333"/>
          <w:sz w:val="18"/>
          <w:szCs w:val="18"/>
          <w:lang w:eastAsia="ru-RU"/>
        </w:rPr>
        <w:t xml:space="preserve"> организации или вновь зарегистрированные индивидуальные предприниматели вправе подать уведомление о переходе на уплату единого сельскохозяйственного налога с начала следующего календарного года при соблюдении ими следующих условий:</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по итогам последнего отчетного периода в текущем календарном году средняя численность работников, определяемая в </w:t>
      </w:r>
      <w:hyperlink r:id="rId24" w:anchor="block_1075" w:history="1">
        <w:r w:rsidRPr="008D4E71">
          <w:rPr>
            <w:rFonts w:ascii="Arial" w:eastAsia="Times New Roman" w:hAnsi="Arial" w:cs="Arial"/>
            <w:color w:val="336699"/>
            <w:sz w:val="18"/>
            <w:szCs w:val="18"/>
            <w:u w:val="single"/>
            <w:lang w:eastAsia="ru-RU"/>
          </w:rPr>
          <w:t>порядке</w:t>
        </w:r>
      </w:hyperlink>
      <w:r w:rsidRPr="008D4E71">
        <w:rPr>
          <w:rFonts w:ascii="Tahoma" w:eastAsia="Times New Roman" w:hAnsi="Tahoma" w:cs="Tahoma"/>
          <w:color w:val="333333"/>
          <w:sz w:val="18"/>
          <w:szCs w:val="18"/>
          <w:lang w:eastAsia="ru-RU"/>
        </w:rPr>
        <w:t xml:space="preserve">,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w:t>
      </w:r>
      <w:proofErr w:type="spellStart"/>
      <w:r w:rsidRPr="008D4E71">
        <w:rPr>
          <w:rFonts w:ascii="Tahoma" w:eastAsia="Times New Roman" w:hAnsi="Tahoma" w:cs="Tahoma"/>
          <w:color w:val="333333"/>
          <w:sz w:val="18"/>
          <w:szCs w:val="18"/>
          <w:lang w:eastAsia="ru-RU"/>
        </w:rPr>
        <w:t>градо</w:t>
      </w:r>
      <w:proofErr w:type="spellEnd"/>
      <w:r w:rsidRPr="008D4E71">
        <w:rPr>
          <w:rFonts w:ascii="Tahoma" w:eastAsia="Times New Roman" w:hAnsi="Tahoma" w:cs="Tahoma"/>
          <w:color w:val="333333"/>
          <w:sz w:val="18"/>
          <w:szCs w:val="18"/>
          <w:lang w:eastAsia="ru-RU"/>
        </w:rPr>
        <w:t xml:space="preserve">- и </w:t>
      </w:r>
      <w:proofErr w:type="spellStart"/>
      <w:r w:rsidRPr="008D4E71">
        <w:rPr>
          <w:rFonts w:ascii="Tahoma" w:eastAsia="Times New Roman" w:hAnsi="Tahoma" w:cs="Tahoma"/>
          <w:color w:val="333333"/>
          <w:sz w:val="18"/>
          <w:szCs w:val="18"/>
          <w:lang w:eastAsia="ru-RU"/>
        </w:rPr>
        <w:t>поселкообразующие</w:t>
      </w:r>
      <w:proofErr w:type="spellEnd"/>
      <w:r w:rsidRPr="008D4E71">
        <w:rPr>
          <w:rFonts w:ascii="Tahoma" w:eastAsia="Times New Roman" w:hAnsi="Tahoma" w:cs="Tahoma"/>
          <w:color w:val="333333"/>
          <w:sz w:val="18"/>
          <w:szCs w:val="18"/>
          <w:lang w:eastAsia="ru-RU"/>
        </w:rPr>
        <w:t xml:space="preserve"> российские </w:t>
      </w:r>
      <w:proofErr w:type="spellStart"/>
      <w:r w:rsidRPr="008D4E71">
        <w:rPr>
          <w:rFonts w:ascii="Tahoma" w:eastAsia="Times New Roman" w:hAnsi="Tahoma" w:cs="Tahoma"/>
          <w:color w:val="333333"/>
          <w:sz w:val="18"/>
          <w:szCs w:val="18"/>
          <w:lang w:eastAsia="ru-RU"/>
        </w:rPr>
        <w:t>рыбохозяйственные</w:t>
      </w:r>
      <w:proofErr w:type="spellEnd"/>
      <w:r w:rsidRPr="008D4E71">
        <w:rPr>
          <w:rFonts w:ascii="Tahoma" w:eastAsia="Times New Roman" w:hAnsi="Tahoma" w:cs="Tahoma"/>
          <w:color w:val="333333"/>
          <w:sz w:val="18"/>
          <w:szCs w:val="18"/>
          <w:lang w:eastAsia="ru-RU"/>
        </w:rPr>
        <w:t xml:space="preserve"> организации);</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8D4E71">
        <w:rPr>
          <w:rFonts w:ascii="Tahoma" w:eastAsia="Times New Roman" w:hAnsi="Tahoma" w:cs="Tahoma"/>
          <w:color w:val="333333"/>
          <w:sz w:val="18"/>
          <w:szCs w:val="18"/>
          <w:lang w:eastAsia="ru-RU"/>
        </w:rPr>
        <w:t>бербоут</w:t>
      </w:r>
      <w:proofErr w:type="spellEnd"/>
      <w:r w:rsidRPr="008D4E71">
        <w:rPr>
          <w:rFonts w:ascii="Tahoma" w:eastAsia="Times New Roman" w:hAnsi="Tahoma" w:cs="Tahoma"/>
          <w:color w:val="333333"/>
          <w:sz w:val="18"/>
          <w:szCs w:val="18"/>
          <w:lang w:eastAsia="ru-RU"/>
        </w:rPr>
        <w:t>-чартера и тайм-чартера);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8) вновь зарегистрированные в текущем календарном году индивидуальные предприниматели (за исключением индивидуальных предпринимателей, указанных в подпункте 7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В целях настоящего пункта доходы от реализации определяются в порядке, предусмотренном </w:t>
      </w:r>
      <w:hyperlink r:id="rId25" w:anchor="block_248" w:history="1">
        <w:r w:rsidRPr="008D4E71">
          <w:rPr>
            <w:rFonts w:ascii="Arial" w:eastAsia="Times New Roman" w:hAnsi="Arial" w:cs="Arial"/>
            <w:color w:val="336699"/>
            <w:sz w:val="18"/>
            <w:szCs w:val="18"/>
            <w:u w:val="single"/>
            <w:lang w:eastAsia="ru-RU"/>
          </w:rPr>
          <w:t>статьями 248</w:t>
        </w:r>
      </w:hyperlink>
      <w:r w:rsidRPr="008D4E71">
        <w:rPr>
          <w:rFonts w:ascii="Tahoma" w:eastAsia="Times New Roman" w:hAnsi="Tahoma" w:cs="Tahoma"/>
          <w:color w:val="333333"/>
          <w:sz w:val="18"/>
          <w:szCs w:val="18"/>
          <w:lang w:eastAsia="ru-RU"/>
        </w:rPr>
        <w:t> и </w:t>
      </w:r>
      <w:hyperlink r:id="rId26" w:anchor="block_249" w:history="1">
        <w:r w:rsidRPr="008D4E71">
          <w:rPr>
            <w:rFonts w:ascii="Arial" w:eastAsia="Times New Roman" w:hAnsi="Arial" w:cs="Arial"/>
            <w:color w:val="336699"/>
            <w:sz w:val="18"/>
            <w:szCs w:val="18"/>
            <w:u w:val="single"/>
            <w:lang w:eastAsia="ru-RU"/>
          </w:rPr>
          <w:t>249</w:t>
        </w:r>
      </w:hyperlink>
      <w:r w:rsidRPr="008D4E71">
        <w:rPr>
          <w:rFonts w:ascii="Tahoma" w:eastAsia="Times New Roman" w:hAnsi="Tahoma" w:cs="Tahoma"/>
          <w:color w:val="333333"/>
          <w:sz w:val="18"/>
          <w:szCs w:val="18"/>
          <w:lang w:eastAsia="ru-RU"/>
        </w:rPr>
        <w:t> настоящего Кодекса, доходы, указанные в </w:t>
      </w:r>
      <w:hyperlink r:id="rId27" w:anchor="block_251" w:history="1">
        <w:r w:rsidRPr="008D4E71">
          <w:rPr>
            <w:rFonts w:ascii="Arial" w:eastAsia="Times New Roman" w:hAnsi="Arial" w:cs="Arial"/>
            <w:color w:val="336699"/>
            <w:sz w:val="18"/>
            <w:szCs w:val="18"/>
            <w:u w:val="single"/>
            <w:lang w:eastAsia="ru-RU"/>
          </w:rPr>
          <w:t>статье 251</w:t>
        </w:r>
      </w:hyperlink>
      <w:r w:rsidRPr="008D4E71">
        <w:rPr>
          <w:rFonts w:ascii="Tahoma" w:eastAsia="Times New Roman" w:hAnsi="Tahoma" w:cs="Tahoma"/>
          <w:color w:val="333333"/>
          <w:sz w:val="18"/>
          <w:szCs w:val="18"/>
          <w:lang w:eastAsia="ru-RU"/>
        </w:rPr>
        <w:t> настоящего Кодекса, не учитываются.</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6. Не вправе переходить на уплату единого сельскохозяйственного налога: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1) </w:t>
      </w:r>
      <w:hyperlink r:id="rId28" w:anchor="block_122" w:history="1">
        <w:r w:rsidRPr="008D4E71">
          <w:rPr>
            <w:rFonts w:ascii="Arial" w:eastAsia="Times New Roman" w:hAnsi="Arial" w:cs="Arial"/>
            <w:color w:val="336699"/>
            <w:sz w:val="18"/>
            <w:szCs w:val="18"/>
            <w:u w:val="single"/>
            <w:lang w:eastAsia="ru-RU"/>
          </w:rPr>
          <w:t>утратил силу</w:t>
        </w:r>
      </w:hyperlink>
      <w:r w:rsidRPr="008D4E71">
        <w:rPr>
          <w:rFonts w:ascii="Tahoma" w:eastAsia="Times New Roman" w:hAnsi="Tahoma" w:cs="Tahoma"/>
          <w:color w:val="333333"/>
          <w:sz w:val="18"/>
          <w:szCs w:val="18"/>
          <w:lang w:eastAsia="ru-RU"/>
        </w:rPr>
        <w:t> с 1 января 2009 г.;</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2) организации и индивидуальные предприниматели,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3) организации, осуществляющие деятельность по организации и проведению азартных игр;</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4) казенные, бюджетные и автономные учреждения.</w:t>
      </w:r>
    </w:p>
    <w:p w:rsidR="008D4E71" w:rsidRPr="008D4E71" w:rsidRDefault="008D4E71" w:rsidP="008D4E71">
      <w:pPr>
        <w:spacing w:after="0" w:line="240" w:lineRule="auto"/>
        <w:ind w:firstLine="720"/>
        <w:rPr>
          <w:rFonts w:ascii="Tahoma" w:eastAsia="Times New Roman" w:hAnsi="Tahoma" w:cs="Tahoma"/>
          <w:color w:val="333333"/>
          <w:sz w:val="18"/>
          <w:szCs w:val="18"/>
          <w:lang w:eastAsia="ru-RU"/>
        </w:rPr>
      </w:pPr>
      <w:r w:rsidRPr="008D4E71">
        <w:rPr>
          <w:rFonts w:ascii="Tahoma" w:eastAsia="Times New Roman" w:hAnsi="Tahoma" w:cs="Tahoma"/>
          <w:color w:val="333333"/>
          <w:sz w:val="18"/>
          <w:szCs w:val="18"/>
          <w:lang w:eastAsia="ru-RU"/>
        </w:rPr>
        <w:t>7. Организации и индивидуальные предприниматели, перешедшие в соответствии с </w:t>
      </w:r>
      <w:hyperlink r:id="rId29" w:anchor="block_200263" w:history="1">
        <w:r w:rsidRPr="008D4E71">
          <w:rPr>
            <w:rFonts w:ascii="Arial" w:eastAsia="Times New Roman" w:hAnsi="Arial" w:cs="Arial"/>
            <w:color w:val="336699"/>
            <w:sz w:val="18"/>
            <w:szCs w:val="18"/>
            <w:u w:val="single"/>
            <w:lang w:eastAsia="ru-RU"/>
          </w:rPr>
          <w:t>главой 26.3</w:t>
        </w:r>
      </w:hyperlink>
      <w:r w:rsidRPr="008D4E71">
        <w:rPr>
          <w:rFonts w:ascii="Tahoma" w:eastAsia="Times New Roman" w:hAnsi="Tahoma" w:cs="Tahoma"/>
          <w:color w:val="333333"/>
          <w:sz w:val="18"/>
          <w:szCs w:val="18"/>
          <w:lang w:eastAsia="ru-RU"/>
        </w:rPr>
        <w:t>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При этом ограничения, установленные </w:t>
      </w:r>
      <w:hyperlink r:id="rId30" w:anchor="block_346205" w:history="1">
        <w:r w:rsidRPr="008D4E71">
          <w:rPr>
            <w:rFonts w:ascii="Arial" w:eastAsia="Times New Roman" w:hAnsi="Arial" w:cs="Arial"/>
            <w:color w:val="336699"/>
            <w:sz w:val="18"/>
            <w:szCs w:val="18"/>
            <w:u w:val="single"/>
            <w:lang w:eastAsia="ru-RU"/>
          </w:rPr>
          <w:t>пунктом 5</w:t>
        </w:r>
      </w:hyperlink>
      <w:r w:rsidRPr="008D4E71">
        <w:rPr>
          <w:rFonts w:ascii="Tahoma" w:eastAsia="Times New Roman" w:hAnsi="Tahoma" w:cs="Tahoma"/>
          <w:color w:val="333333"/>
          <w:sz w:val="18"/>
          <w:szCs w:val="18"/>
          <w:lang w:eastAsia="ru-RU"/>
        </w:rPr>
        <w:t>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 индивидуальными предпринимателями видов деятельности.</w:t>
      </w:r>
    </w:p>
    <w:p w:rsidR="006A1606" w:rsidRDefault="008D4E71" w:rsidP="008D4E71">
      <w:r w:rsidRPr="008D4E71">
        <w:rPr>
          <w:rFonts w:ascii="Tahoma" w:eastAsia="Times New Roman" w:hAnsi="Tahoma" w:cs="Tahoma"/>
          <w:color w:val="333333"/>
          <w:sz w:val="18"/>
          <w:szCs w:val="18"/>
          <w:lang w:eastAsia="ru-RU"/>
        </w:rPr>
        <w:t>При этом в отношении реализации налогоплательщиками единого сельскохозяйственного налога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w:t>
      </w:r>
      <w:hyperlink r:id="rId31" w:anchor="block_1000" w:history="1">
        <w:r w:rsidRPr="008D4E71">
          <w:rPr>
            <w:rFonts w:ascii="Arial" w:eastAsia="Times New Roman" w:hAnsi="Arial" w:cs="Arial"/>
            <w:color w:val="336699"/>
            <w:sz w:val="18"/>
            <w:szCs w:val="18"/>
            <w:u w:val="single"/>
            <w:lang w:eastAsia="ru-RU"/>
          </w:rPr>
          <w:t>продукцию первичной переработки</w:t>
        </w:r>
      </w:hyperlink>
      <w:r w:rsidRPr="008D4E71">
        <w:rPr>
          <w:rFonts w:ascii="Tahoma" w:eastAsia="Times New Roman" w:hAnsi="Tahoma" w:cs="Tahoma"/>
          <w:color w:val="333333"/>
          <w:sz w:val="18"/>
          <w:szCs w:val="18"/>
          <w:lang w:eastAsia="ru-RU"/>
        </w:rPr>
        <w:t>,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 налогообложения в виде единого налога на вмененный доход для отдельных видов деятельности в соответствии с </w:t>
      </w:r>
      <w:hyperlink r:id="rId32" w:anchor="block_200263" w:history="1">
        <w:r w:rsidRPr="008D4E71">
          <w:rPr>
            <w:rFonts w:ascii="Arial" w:eastAsia="Times New Roman" w:hAnsi="Arial" w:cs="Arial"/>
            <w:color w:val="336699"/>
            <w:sz w:val="18"/>
            <w:szCs w:val="18"/>
            <w:u w:val="single"/>
            <w:lang w:eastAsia="ru-RU"/>
          </w:rPr>
          <w:t>главой 26.3</w:t>
        </w:r>
      </w:hyperlink>
      <w:r w:rsidRPr="008D4E71">
        <w:rPr>
          <w:rFonts w:ascii="Tahoma" w:eastAsia="Times New Roman" w:hAnsi="Tahoma" w:cs="Tahoma"/>
          <w:color w:val="333333"/>
          <w:sz w:val="18"/>
          <w:szCs w:val="18"/>
          <w:lang w:eastAsia="ru-RU"/>
        </w:rPr>
        <w:t> настоящего Кодекса не применяется.</w:t>
      </w:r>
    </w:p>
    <w:sectPr w:rsidR="006A1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71"/>
    <w:rsid w:val="006A1606"/>
    <w:rsid w:val="008D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73D2"/>
  <w15:chartTrackingRefBased/>
  <w15:docId w15:val="{21039B0D-8610-4D3E-A9DA-5ED28086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4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71"/>
    <w:rPr>
      <w:rFonts w:ascii="Times New Roman" w:eastAsia="Times New Roman" w:hAnsi="Times New Roman" w:cs="Times New Roman"/>
      <w:b/>
      <w:bCs/>
      <w:kern w:val="36"/>
      <w:sz w:val="48"/>
      <w:szCs w:val="48"/>
      <w:lang w:eastAsia="ru-RU"/>
    </w:rPr>
  </w:style>
  <w:style w:type="paragraph" w:customStyle="1" w:styleId="s15">
    <w:name w:val="s_15"/>
    <w:basedOn w:val="a"/>
    <w:rsid w:val="008D4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D4E71"/>
  </w:style>
  <w:style w:type="paragraph" w:customStyle="1" w:styleId="s1">
    <w:name w:val="s_1"/>
    <w:basedOn w:val="a"/>
    <w:rsid w:val="008D4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4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8707">
      <w:bodyDiv w:val="1"/>
      <w:marLeft w:val="0"/>
      <w:marRight w:val="0"/>
      <w:marTop w:val="0"/>
      <w:marBottom w:val="0"/>
      <w:divBdr>
        <w:top w:val="none" w:sz="0" w:space="0" w:color="auto"/>
        <w:left w:val="none" w:sz="0" w:space="0" w:color="auto"/>
        <w:bottom w:val="none" w:sz="0" w:space="0" w:color="auto"/>
        <w:right w:val="none" w:sz="0" w:space="0" w:color="auto"/>
      </w:divBdr>
      <w:divsChild>
        <w:div w:id="892423234">
          <w:marLeft w:val="0"/>
          <w:marRight w:val="0"/>
          <w:marTop w:val="0"/>
          <w:marBottom w:val="0"/>
          <w:divBdr>
            <w:top w:val="none" w:sz="0" w:space="0" w:color="auto"/>
            <w:left w:val="none" w:sz="0" w:space="0" w:color="auto"/>
            <w:bottom w:val="none" w:sz="0" w:space="0" w:color="auto"/>
            <w:right w:val="none" w:sz="0" w:space="0" w:color="auto"/>
          </w:divBdr>
        </w:div>
        <w:div w:id="800536774">
          <w:marLeft w:val="0"/>
          <w:marRight w:val="0"/>
          <w:marTop w:val="0"/>
          <w:marBottom w:val="0"/>
          <w:divBdr>
            <w:top w:val="none" w:sz="0" w:space="0" w:color="auto"/>
            <w:left w:val="none" w:sz="0" w:space="0" w:color="auto"/>
            <w:bottom w:val="none" w:sz="0" w:space="0" w:color="auto"/>
            <w:right w:val="none" w:sz="0" w:space="0" w:color="auto"/>
          </w:divBdr>
        </w:div>
        <w:div w:id="184948634">
          <w:marLeft w:val="0"/>
          <w:marRight w:val="0"/>
          <w:marTop w:val="0"/>
          <w:marBottom w:val="0"/>
          <w:divBdr>
            <w:top w:val="none" w:sz="0" w:space="0" w:color="auto"/>
            <w:left w:val="none" w:sz="0" w:space="0" w:color="auto"/>
            <w:bottom w:val="none" w:sz="0" w:space="0" w:color="auto"/>
            <w:right w:val="none" w:sz="0" w:space="0" w:color="auto"/>
          </w:divBdr>
          <w:divsChild>
            <w:div w:id="282345997">
              <w:marLeft w:val="0"/>
              <w:marRight w:val="0"/>
              <w:marTop w:val="0"/>
              <w:marBottom w:val="0"/>
              <w:divBdr>
                <w:top w:val="none" w:sz="0" w:space="0" w:color="auto"/>
                <w:left w:val="none" w:sz="0" w:space="0" w:color="auto"/>
                <w:bottom w:val="none" w:sz="0" w:space="0" w:color="auto"/>
                <w:right w:val="none" w:sz="0" w:space="0" w:color="auto"/>
              </w:divBdr>
            </w:div>
          </w:divsChild>
        </w:div>
        <w:div w:id="1853914298">
          <w:marLeft w:val="0"/>
          <w:marRight w:val="0"/>
          <w:marTop w:val="0"/>
          <w:marBottom w:val="0"/>
          <w:divBdr>
            <w:top w:val="none" w:sz="0" w:space="0" w:color="auto"/>
            <w:left w:val="none" w:sz="0" w:space="0" w:color="auto"/>
            <w:bottom w:val="none" w:sz="0" w:space="0" w:color="auto"/>
            <w:right w:val="none" w:sz="0" w:space="0" w:color="auto"/>
          </w:divBdr>
        </w:div>
        <w:div w:id="427970999">
          <w:marLeft w:val="0"/>
          <w:marRight w:val="0"/>
          <w:marTop w:val="0"/>
          <w:marBottom w:val="0"/>
          <w:divBdr>
            <w:top w:val="none" w:sz="0" w:space="0" w:color="auto"/>
            <w:left w:val="none" w:sz="0" w:space="0" w:color="auto"/>
            <w:bottom w:val="none" w:sz="0" w:space="0" w:color="auto"/>
            <w:right w:val="none" w:sz="0" w:space="0" w:color="auto"/>
          </w:divBdr>
          <w:divsChild>
            <w:div w:id="523906695">
              <w:marLeft w:val="0"/>
              <w:marRight w:val="0"/>
              <w:marTop w:val="0"/>
              <w:marBottom w:val="0"/>
              <w:divBdr>
                <w:top w:val="none" w:sz="0" w:space="0" w:color="auto"/>
                <w:left w:val="none" w:sz="0" w:space="0" w:color="auto"/>
                <w:bottom w:val="none" w:sz="0" w:space="0" w:color="auto"/>
                <w:right w:val="none" w:sz="0" w:space="0" w:color="auto"/>
              </w:divBdr>
            </w:div>
            <w:div w:id="303049513">
              <w:marLeft w:val="0"/>
              <w:marRight w:val="0"/>
              <w:marTop w:val="0"/>
              <w:marBottom w:val="0"/>
              <w:divBdr>
                <w:top w:val="none" w:sz="0" w:space="0" w:color="auto"/>
                <w:left w:val="none" w:sz="0" w:space="0" w:color="auto"/>
                <w:bottom w:val="none" w:sz="0" w:space="0" w:color="auto"/>
                <w:right w:val="none" w:sz="0" w:space="0" w:color="auto"/>
              </w:divBdr>
            </w:div>
            <w:div w:id="1569654668">
              <w:marLeft w:val="0"/>
              <w:marRight w:val="0"/>
              <w:marTop w:val="0"/>
              <w:marBottom w:val="0"/>
              <w:divBdr>
                <w:top w:val="none" w:sz="0" w:space="0" w:color="auto"/>
                <w:left w:val="none" w:sz="0" w:space="0" w:color="auto"/>
                <w:bottom w:val="none" w:sz="0" w:space="0" w:color="auto"/>
                <w:right w:val="none" w:sz="0" w:space="0" w:color="auto"/>
              </w:divBdr>
            </w:div>
          </w:divsChild>
        </w:div>
        <w:div w:id="2128574054">
          <w:marLeft w:val="0"/>
          <w:marRight w:val="0"/>
          <w:marTop w:val="0"/>
          <w:marBottom w:val="0"/>
          <w:divBdr>
            <w:top w:val="none" w:sz="0" w:space="0" w:color="auto"/>
            <w:left w:val="none" w:sz="0" w:space="0" w:color="auto"/>
            <w:bottom w:val="none" w:sz="0" w:space="0" w:color="auto"/>
            <w:right w:val="none" w:sz="0" w:space="0" w:color="auto"/>
          </w:divBdr>
        </w:div>
        <w:div w:id="1349407337">
          <w:marLeft w:val="0"/>
          <w:marRight w:val="0"/>
          <w:marTop w:val="0"/>
          <w:marBottom w:val="0"/>
          <w:divBdr>
            <w:top w:val="none" w:sz="0" w:space="0" w:color="auto"/>
            <w:left w:val="none" w:sz="0" w:space="0" w:color="auto"/>
            <w:bottom w:val="none" w:sz="0" w:space="0" w:color="auto"/>
            <w:right w:val="none" w:sz="0" w:space="0" w:color="auto"/>
          </w:divBdr>
        </w:div>
        <w:div w:id="837380071">
          <w:marLeft w:val="0"/>
          <w:marRight w:val="0"/>
          <w:marTop w:val="0"/>
          <w:marBottom w:val="0"/>
          <w:divBdr>
            <w:top w:val="none" w:sz="0" w:space="0" w:color="auto"/>
            <w:left w:val="none" w:sz="0" w:space="0" w:color="auto"/>
            <w:bottom w:val="none" w:sz="0" w:space="0" w:color="auto"/>
            <w:right w:val="none" w:sz="0" w:space="0" w:color="auto"/>
          </w:divBdr>
        </w:div>
        <w:div w:id="1893808856">
          <w:marLeft w:val="0"/>
          <w:marRight w:val="0"/>
          <w:marTop w:val="0"/>
          <w:marBottom w:val="0"/>
          <w:divBdr>
            <w:top w:val="none" w:sz="0" w:space="0" w:color="auto"/>
            <w:left w:val="none" w:sz="0" w:space="0" w:color="auto"/>
            <w:bottom w:val="none" w:sz="0" w:space="0" w:color="auto"/>
            <w:right w:val="none" w:sz="0" w:space="0" w:color="auto"/>
          </w:divBdr>
          <w:divsChild>
            <w:div w:id="764155238">
              <w:marLeft w:val="0"/>
              <w:marRight w:val="0"/>
              <w:marTop w:val="0"/>
              <w:marBottom w:val="0"/>
              <w:divBdr>
                <w:top w:val="none" w:sz="0" w:space="0" w:color="auto"/>
                <w:left w:val="none" w:sz="0" w:space="0" w:color="auto"/>
                <w:bottom w:val="none" w:sz="0" w:space="0" w:color="auto"/>
                <w:right w:val="none" w:sz="0" w:space="0" w:color="auto"/>
              </w:divBdr>
            </w:div>
            <w:div w:id="1985810661">
              <w:marLeft w:val="0"/>
              <w:marRight w:val="0"/>
              <w:marTop w:val="0"/>
              <w:marBottom w:val="0"/>
              <w:divBdr>
                <w:top w:val="none" w:sz="0" w:space="0" w:color="auto"/>
                <w:left w:val="none" w:sz="0" w:space="0" w:color="auto"/>
                <w:bottom w:val="none" w:sz="0" w:space="0" w:color="auto"/>
                <w:right w:val="none" w:sz="0" w:space="0" w:color="auto"/>
              </w:divBdr>
            </w:div>
            <w:div w:id="587227658">
              <w:marLeft w:val="0"/>
              <w:marRight w:val="0"/>
              <w:marTop w:val="0"/>
              <w:marBottom w:val="0"/>
              <w:divBdr>
                <w:top w:val="none" w:sz="0" w:space="0" w:color="auto"/>
                <w:left w:val="none" w:sz="0" w:space="0" w:color="auto"/>
                <w:bottom w:val="none" w:sz="0" w:space="0" w:color="auto"/>
                <w:right w:val="none" w:sz="0" w:space="0" w:color="auto"/>
              </w:divBdr>
            </w:div>
            <w:div w:id="1221865881">
              <w:marLeft w:val="0"/>
              <w:marRight w:val="0"/>
              <w:marTop w:val="0"/>
              <w:marBottom w:val="0"/>
              <w:divBdr>
                <w:top w:val="none" w:sz="0" w:space="0" w:color="auto"/>
                <w:left w:val="none" w:sz="0" w:space="0" w:color="auto"/>
                <w:bottom w:val="none" w:sz="0" w:space="0" w:color="auto"/>
                <w:right w:val="none" w:sz="0" w:space="0" w:color="auto"/>
              </w:divBdr>
            </w:div>
            <w:div w:id="1299260088">
              <w:marLeft w:val="0"/>
              <w:marRight w:val="0"/>
              <w:marTop w:val="0"/>
              <w:marBottom w:val="0"/>
              <w:divBdr>
                <w:top w:val="none" w:sz="0" w:space="0" w:color="auto"/>
                <w:left w:val="none" w:sz="0" w:space="0" w:color="auto"/>
                <w:bottom w:val="none" w:sz="0" w:space="0" w:color="auto"/>
                <w:right w:val="none" w:sz="0" w:space="0" w:color="auto"/>
              </w:divBdr>
            </w:div>
            <w:div w:id="1863274493">
              <w:marLeft w:val="0"/>
              <w:marRight w:val="0"/>
              <w:marTop w:val="0"/>
              <w:marBottom w:val="0"/>
              <w:divBdr>
                <w:top w:val="none" w:sz="0" w:space="0" w:color="auto"/>
                <w:left w:val="none" w:sz="0" w:space="0" w:color="auto"/>
                <w:bottom w:val="none" w:sz="0" w:space="0" w:color="auto"/>
                <w:right w:val="none" w:sz="0" w:space="0" w:color="auto"/>
              </w:divBdr>
            </w:div>
            <w:div w:id="1221598055">
              <w:marLeft w:val="0"/>
              <w:marRight w:val="0"/>
              <w:marTop w:val="0"/>
              <w:marBottom w:val="0"/>
              <w:divBdr>
                <w:top w:val="none" w:sz="0" w:space="0" w:color="auto"/>
                <w:left w:val="none" w:sz="0" w:space="0" w:color="auto"/>
                <w:bottom w:val="none" w:sz="0" w:space="0" w:color="auto"/>
                <w:right w:val="none" w:sz="0" w:space="0" w:color="auto"/>
              </w:divBdr>
            </w:div>
            <w:div w:id="1278298927">
              <w:marLeft w:val="0"/>
              <w:marRight w:val="0"/>
              <w:marTop w:val="0"/>
              <w:marBottom w:val="0"/>
              <w:divBdr>
                <w:top w:val="none" w:sz="0" w:space="0" w:color="auto"/>
                <w:left w:val="none" w:sz="0" w:space="0" w:color="auto"/>
                <w:bottom w:val="none" w:sz="0" w:space="0" w:color="auto"/>
                <w:right w:val="none" w:sz="0" w:space="0" w:color="auto"/>
              </w:divBdr>
            </w:div>
          </w:divsChild>
        </w:div>
        <w:div w:id="805927875">
          <w:marLeft w:val="0"/>
          <w:marRight w:val="0"/>
          <w:marTop w:val="0"/>
          <w:marBottom w:val="0"/>
          <w:divBdr>
            <w:top w:val="none" w:sz="0" w:space="0" w:color="auto"/>
            <w:left w:val="none" w:sz="0" w:space="0" w:color="auto"/>
            <w:bottom w:val="none" w:sz="0" w:space="0" w:color="auto"/>
            <w:right w:val="none" w:sz="0" w:space="0" w:color="auto"/>
          </w:divBdr>
          <w:divsChild>
            <w:div w:id="238948850">
              <w:marLeft w:val="0"/>
              <w:marRight w:val="0"/>
              <w:marTop w:val="0"/>
              <w:marBottom w:val="0"/>
              <w:divBdr>
                <w:top w:val="none" w:sz="0" w:space="0" w:color="auto"/>
                <w:left w:val="none" w:sz="0" w:space="0" w:color="auto"/>
                <w:bottom w:val="none" w:sz="0" w:space="0" w:color="auto"/>
                <w:right w:val="none" w:sz="0" w:space="0" w:color="auto"/>
              </w:divBdr>
            </w:div>
            <w:div w:id="2082824074">
              <w:marLeft w:val="0"/>
              <w:marRight w:val="0"/>
              <w:marTop w:val="0"/>
              <w:marBottom w:val="0"/>
              <w:divBdr>
                <w:top w:val="none" w:sz="0" w:space="0" w:color="auto"/>
                <w:left w:val="none" w:sz="0" w:space="0" w:color="auto"/>
                <w:bottom w:val="none" w:sz="0" w:space="0" w:color="auto"/>
                <w:right w:val="none" w:sz="0" w:space="0" w:color="auto"/>
              </w:divBdr>
            </w:div>
            <w:div w:id="1675231279">
              <w:marLeft w:val="0"/>
              <w:marRight w:val="0"/>
              <w:marTop w:val="0"/>
              <w:marBottom w:val="0"/>
              <w:divBdr>
                <w:top w:val="none" w:sz="0" w:space="0" w:color="auto"/>
                <w:left w:val="none" w:sz="0" w:space="0" w:color="auto"/>
                <w:bottom w:val="none" w:sz="0" w:space="0" w:color="auto"/>
                <w:right w:val="none" w:sz="0" w:space="0" w:color="auto"/>
              </w:divBdr>
            </w:div>
            <w:div w:id="186406819">
              <w:marLeft w:val="0"/>
              <w:marRight w:val="0"/>
              <w:marTop w:val="0"/>
              <w:marBottom w:val="0"/>
              <w:divBdr>
                <w:top w:val="none" w:sz="0" w:space="0" w:color="auto"/>
                <w:left w:val="none" w:sz="0" w:space="0" w:color="auto"/>
                <w:bottom w:val="none" w:sz="0" w:space="0" w:color="auto"/>
                <w:right w:val="none" w:sz="0" w:space="0" w:color="auto"/>
              </w:divBdr>
            </w:div>
          </w:divsChild>
        </w:div>
        <w:div w:id="64057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8539/f7ee959fd36b5699076b35abf4f52c5c/" TargetMode="External"/><Relationship Id="rId18" Type="http://schemas.openxmlformats.org/officeDocument/2006/relationships/hyperlink" Target="http://nalog.garant.ru/fns/nk/23ea44f688a69bc1f16b892b6d10e2b9/" TargetMode="External"/><Relationship Id="rId26" Type="http://schemas.openxmlformats.org/officeDocument/2006/relationships/hyperlink" Target="http://nalog.garant.ru/fns/nk/f7c79208d31d491b5ba6ce636759bbe9/" TargetMode="External"/><Relationship Id="rId3" Type="http://schemas.openxmlformats.org/officeDocument/2006/relationships/webSettings" Target="webSettings.xml"/><Relationship Id="rId21" Type="http://schemas.openxmlformats.org/officeDocument/2006/relationships/hyperlink" Target="http://nalog.garant.ru/fns/nk/bfe7f4b644d9365b622ee7aa7d937d87/" TargetMode="External"/><Relationship Id="rId34" Type="http://schemas.openxmlformats.org/officeDocument/2006/relationships/theme" Target="theme/theme1.xml"/><Relationship Id="rId7" Type="http://schemas.openxmlformats.org/officeDocument/2006/relationships/hyperlink" Target="http://base.garant.ru/10105638/1b93c134b90c6071b4dc3f495464b753/" TargetMode="External"/><Relationship Id="rId12" Type="http://schemas.openxmlformats.org/officeDocument/2006/relationships/hyperlink" Target="http://base.garant.ru/73088246/" TargetMode="External"/><Relationship Id="rId17" Type="http://schemas.openxmlformats.org/officeDocument/2006/relationships/hyperlink" Target="http://nalog.garant.ru/fns/nk/23ea44f688a69bc1f16b892b6d10e2b9/" TargetMode="External"/><Relationship Id="rId25" Type="http://schemas.openxmlformats.org/officeDocument/2006/relationships/hyperlink" Target="http://nalog.garant.ru/fns/nk/65eb3e9f0171e6530f8f4e4bf22b508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alog.garant.ru/fns/nk/bfe7f4b644d9365b622ee7aa7d937d87/" TargetMode="External"/><Relationship Id="rId20" Type="http://schemas.openxmlformats.org/officeDocument/2006/relationships/hyperlink" Target="http://base.garant.ru/12148539/f7ee959fd36b5699076b35abf4f52c5c/" TargetMode="External"/><Relationship Id="rId29" Type="http://schemas.openxmlformats.org/officeDocument/2006/relationships/hyperlink" Target="http://nalog.garant.ru/fns/nk/4a593a7a168645f42ab94823f39e94b9/" TargetMode="External"/><Relationship Id="rId1" Type="http://schemas.openxmlformats.org/officeDocument/2006/relationships/styles" Target="styles.xml"/><Relationship Id="rId6" Type="http://schemas.openxmlformats.org/officeDocument/2006/relationships/hyperlink" Target="http://base.garant.ru/70650726/" TargetMode="External"/><Relationship Id="rId11" Type="http://schemas.openxmlformats.org/officeDocument/2006/relationships/hyperlink" Target="http://base.garant.ru/12178417/" TargetMode="External"/><Relationship Id="rId24" Type="http://schemas.openxmlformats.org/officeDocument/2006/relationships/hyperlink" Target="http://base.garant.ru/73088246/" TargetMode="External"/><Relationship Id="rId32" Type="http://schemas.openxmlformats.org/officeDocument/2006/relationships/hyperlink" Target="http://nalog.garant.ru/fns/nk/4a593a7a168645f42ab94823f39e94b9/" TargetMode="External"/><Relationship Id="rId5" Type="http://schemas.openxmlformats.org/officeDocument/2006/relationships/hyperlink" Target="http://nalog.garant.ru/fns/nk/bfe7f4b644d9365b622ee7aa7d937d87/" TargetMode="External"/><Relationship Id="rId15" Type="http://schemas.openxmlformats.org/officeDocument/2006/relationships/hyperlink" Target="http://base.garant.ru/70650730/" TargetMode="External"/><Relationship Id="rId23" Type="http://schemas.openxmlformats.org/officeDocument/2006/relationships/hyperlink" Target="http://base.garant.ru/73088246/" TargetMode="External"/><Relationship Id="rId28" Type="http://schemas.openxmlformats.org/officeDocument/2006/relationships/hyperlink" Target="http://base.garant.ru/12161588/1cafb24d049dcd1e7707a22d98e9858f/" TargetMode="External"/><Relationship Id="rId10" Type="http://schemas.openxmlformats.org/officeDocument/2006/relationships/hyperlink" Target="http://nalog.garant.ru/fns/nk/bfe7f4b644d9365b622ee7aa7d937d87/" TargetMode="External"/><Relationship Id="rId19" Type="http://schemas.openxmlformats.org/officeDocument/2006/relationships/hyperlink" Target="http://base.garant.ru/12148539/78235868cdc6218437208222f4e75919/" TargetMode="External"/><Relationship Id="rId31" Type="http://schemas.openxmlformats.org/officeDocument/2006/relationships/hyperlink" Target="http://base.garant.ru/12148539/53f89421bbdaf741eb2d1ecc4ddb4c33/" TargetMode="External"/><Relationship Id="rId4" Type="http://schemas.openxmlformats.org/officeDocument/2006/relationships/hyperlink" Target="http://base.garant.ru/12185509/" TargetMode="External"/><Relationship Id="rId9" Type="http://schemas.openxmlformats.org/officeDocument/2006/relationships/hyperlink" Target="http://nalog.garant.ru/fns/nk/bfe7f4b644d9365b622ee7aa7d937d87/" TargetMode="External"/><Relationship Id="rId14" Type="http://schemas.openxmlformats.org/officeDocument/2006/relationships/hyperlink" Target="http://base.garant.ru/12148539/53f89421bbdaf741eb2d1ecc4ddb4c33/" TargetMode="External"/><Relationship Id="rId22" Type="http://schemas.openxmlformats.org/officeDocument/2006/relationships/hyperlink" Target="http://nalog.garant.ru/fns/nk/bfe7f4b644d9365b622ee7aa7d937d87/" TargetMode="External"/><Relationship Id="rId27" Type="http://schemas.openxmlformats.org/officeDocument/2006/relationships/hyperlink" Target="http://nalog.garant.ru/fns/nk/57d7fb69cad1d16755d39d2aae86cc1c/" TargetMode="External"/><Relationship Id="rId30" Type="http://schemas.openxmlformats.org/officeDocument/2006/relationships/hyperlink" Target="http://nalog.garant.ru/fns/nk/bfe7f4b644d9365b622ee7aa7d937d87/" TargetMode="External"/><Relationship Id="rId8" Type="http://schemas.openxmlformats.org/officeDocument/2006/relationships/hyperlink" Target="http://nalog.garant.ru/fns/nk/bfe7f4b644d9365b622ee7aa7d937d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2839</Words>
  <Characters>16184</Characters>
  <Application>Microsoft Office Word</Application>
  <DocSecurity>0</DocSecurity>
  <Lines>134</Lines>
  <Paragraphs>37</Paragraphs>
  <ScaleCrop>false</ScaleCrop>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Martynov_VV</dc:creator>
  <cp:keywords/>
  <dc:description/>
  <cp:lastModifiedBy>Martynov_VV</cp:lastModifiedBy>
  <cp:revision>1</cp:revision>
  <dcterms:created xsi:type="dcterms:W3CDTF">2020-01-29T07:09:00Z</dcterms:created>
  <dcterms:modified xsi:type="dcterms:W3CDTF">2020-01-29T07:09:00Z</dcterms:modified>
</cp:coreProperties>
</file>